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60" w:lineRule="exact"/>
        <w:jc w:val="center"/>
        <w:rPr>
          <w:rStyle w:val="7"/>
          <w:rFonts w:ascii="方正公文小标宋" w:hAnsi="方正公文小标宋" w:eastAsia="方正公文小标宋"/>
          <w:b w:val="0"/>
          <w:color w:val="000000"/>
          <w:sz w:val="44"/>
          <w:szCs w:val="44"/>
        </w:rPr>
      </w:pPr>
    </w:p>
    <w:p>
      <w:pPr>
        <w:pStyle w:val="4"/>
        <w:shd w:val="clear" w:color="auto" w:fill="FFFFFF"/>
        <w:spacing w:line="560" w:lineRule="exact"/>
        <w:jc w:val="center"/>
        <w:rPr>
          <w:rStyle w:val="7"/>
          <w:rFonts w:ascii="方正公文小标宋" w:hAnsi="方正公文小标宋" w:eastAsia="方正公文小标宋"/>
          <w:b w:val="0"/>
          <w:color w:val="000000"/>
          <w:sz w:val="44"/>
          <w:szCs w:val="44"/>
        </w:rPr>
      </w:pPr>
      <w:r>
        <w:rPr>
          <w:rStyle w:val="7"/>
          <w:rFonts w:hint="eastAsia" w:ascii="方正公文小标宋" w:hAnsi="方正公文小标宋" w:eastAsia="方正公文小标宋"/>
          <w:b w:val="0"/>
          <w:color w:val="000000"/>
          <w:sz w:val="44"/>
          <w:szCs w:val="44"/>
        </w:rPr>
        <w:t>国家中医药博物馆</w:t>
      </w:r>
    </w:p>
    <w:p>
      <w:pPr>
        <w:pStyle w:val="4"/>
        <w:shd w:val="clear" w:color="auto" w:fill="FFFFFF"/>
        <w:spacing w:line="560" w:lineRule="exact"/>
        <w:jc w:val="center"/>
        <w:rPr>
          <w:rStyle w:val="7"/>
          <w:rFonts w:ascii="方正公文小标宋" w:hAnsi="方正公文小标宋" w:eastAsia="方正公文小标宋"/>
          <w:b w:val="0"/>
          <w:color w:val="000000"/>
          <w:sz w:val="44"/>
          <w:szCs w:val="44"/>
        </w:rPr>
      </w:pPr>
      <w:r>
        <w:rPr>
          <w:rStyle w:val="7"/>
          <w:rFonts w:hint="eastAsia" w:ascii="方正公文小标宋" w:hAnsi="方正公文小标宋" w:eastAsia="方正公文小标宋"/>
          <w:b w:val="0"/>
          <w:color w:val="000000"/>
          <w:sz w:val="44"/>
          <w:szCs w:val="44"/>
        </w:rPr>
        <w:t>2024年部门决算公开报告</w:t>
      </w:r>
    </w:p>
    <w:p>
      <w:pPr>
        <w:pStyle w:val="4"/>
        <w:shd w:val="clear" w:color="auto" w:fill="FFFFFF"/>
        <w:spacing w:line="600" w:lineRule="exact"/>
        <w:jc w:val="center"/>
        <w:rPr>
          <w:rFonts w:ascii="微软雅黑" w:hAnsi="微软雅黑" w:eastAsia="微软雅黑"/>
          <w:b/>
          <w:color w:val="000000"/>
          <w:sz w:val="32"/>
          <w:szCs w:val="32"/>
        </w:rPr>
      </w:pPr>
      <w:r>
        <w:rPr>
          <w:rStyle w:val="7"/>
          <w:rFonts w:hint="eastAsia" w:ascii="黑体" w:hAnsi="黑体" w:eastAsia="黑体"/>
          <w:b w:val="0"/>
          <w:color w:val="000000"/>
          <w:sz w:val="32"/>
          <w:szCs w:val="32"/>
        </w:rPr>
        <w:t>目 录</w:t>
      </w:r>
    </w:p>
    <w:p>
      <w:pPr>
        <w:pStyle w:val="4"/>
        <w:shd w:val="clear" w:color="auto" w:fill="FFFFFF"/>
        <w:spacing w:before="0" w:beforeAutospacing="0" w:after="0" w:afterAutospacing="0"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sz w:val="27"/>
          <w:szCs w:val="27"/>
        </w:rPr>
        <w:t>　</w:t>
      </w:r>
      <w:r>
        <w:rPr>
          <w:rFonts w:hint="eastAsia" w:ascii="仿宋_GB2312" w:hAnsi="黑体" w:eastAsia="仿宋_GB2312"/>
          <w:color w:val="000000"/>
          <w:sz w:val="32"/>
          <w:szCs w:val="32"/>
        </w:rPr>
        <w:t>　</w:t>
      </w:r>
      <w:r>
        <w:rPr>
          <w:rFonts w:hint="eastAsia" w:ascii="黑体" w:hAnsi="黑体" w:eastAsia="黑体"/>
          <w:color w:val="000000" w:themeColor="text1"/>
          <w:sz w:val="32"/>
          <w:szCs w:val="32"/>
          <w14:textFill>
            <w14:solidFill>
              <w14:schemeClr w14:val="tx1"/>
            </w14:solidFill>
          </w14:textFill>
        </w:rPr>
        <w:t>第一部分 国家中医药博物馆概况</w:t>
      </w:r>
    </w:p>
    <w:p>
      <w:pPr>
        <w:pStyle w:val="4"/>
        <w:numPr>
          <w:ilvl w:val="0"/>
          <w:numId w:val="1"/>
        </w:numPr>
        <w:shd w:val="clear" w:color="auto" w:fill="FFFFFF"/>
        <w:spacing w:before="0" w:beforeAutospacing="0" w:after="0" w:afterAutospacing="0" w:line="600" w:lineRule="exact"/>
        <w:rPr>
          <w:rFonts w:ascii="仿宋_GB2312" w:hAnsi="楷体" w:eastAsia="仿宋_GB2312"/>
          <w:color w:val="000000"/>
          <w:sz w:val="32"/>
          <w:szCs w:val="32"/>
        </w:rPr>
      </w:pPr>
      <w:r>
        <w:rPr>
          <w:rFonts w:hint="eastAsia" w:ascii="仿宋_GB2312" w:hAnsi="楷体" w:eastAsia="仿宋_GB2312"/>
          <w:color w:val="000000"/>
          <w:sz w:val="32"/>
          <w:szCs w:val="32"/>
        </w:rPr>
        <w:t>主要职责</w:t>
      </w:r>
    </w:p>
    <w:p>
      <w:pPr>
        <w:pStyle w:val="4"/>
        <w:shd w:val="clear" w:color="auto" w:fill="FFFFFF"/>
        <w:spacing w:before="0" w:beforeAutospacing="0" w:after="0" w:afterAutospacing="0" w:line="600" w:lineRule="exact"/>
        <w:ind w:left="645"/>
        <w:rPr>
          <w:rFonts w:ascii="仿宋_GB2312" w:hAnsi="微软雅黑" w:eastAsia="仿宋_GB2312"/>
          <w:color w:val="000000"/>
          <w:sz w:val="32"/>
          <w:szCs w:val="32"/>
        </w:rPr>
      </w:pPr>
      <w:r>
        <w:rPr>
          <w:rFonts w:hint="eastAsia" w:ascii="仿宋_GB2312" w:hAnsi="楷体" w:eastAsia="仿宋_GB2312"/>
          <w:color w:val="000000"/>
          <w:sz w:val="32"/>
          <w:szCs w:val="32"/>
        </w:rPr>
        <w:t>二、内设机构</w:t>
      </w:r>
    </w:p>
    <w:p>
      <w:pPr>
        <w:pStyle w:val="4"/>
        <w:shd w:val="clear" w:color="auto" w:fill="FFFFFF"/>
        <w:spacing w:before="0" w:beforeAutospacing="0" w:after="0" w:afterAutospacing="0" w:line="600" w:lineRule="exact"/>
        <w:rPr>
          <w:rFonts w:ascii="黑体" w:hAnsi="黑体" w:eastAsia="黑体"/>
          <w:color w:val="000000"/>
          <w:sz w:val="32"/>
          <w:szCs w:val="32"/>
        </w:rPr>
      </w:pPr>
      <w:r>
        <w:rPr>
          <w:rFonts w:hint="eastAsia" w:ascii="黑体" w:hAnsi="黑体" w:eastAsia="黑体"/>
          <w:color w:val="000000"/>
          <w:sz w:val="27"/>
          <w:szCs w:val="27"/>
        </w:rPr>
        <w:t>　</w:t>
      </w:r>
      <w:r>
        <w:rPr>
          <w:rFonts w:hint="eastAsia" w:ascii="黑体" w:hAnsi="黑体" w:eastAsia="黑体"/>
          <w:color w:val="000000"/>
          <w:sz w:val="32"/>
          <w:szCs w:val="32"/>
        </w:rPr>
        <w:t>　第二部分 2024年度部门决算表</w:t>
      </w:r>
    </w:p>
    <w:p>
      <w:pPr>
        <w:pStyle w:val="4"/>
        <w:shd w:val="clear" w:color="auto" w:fill="FFFFFF"/>
        <w:spacing w:before="0" w:beforeAutospacing="0" w:after="0" w:afterAutospacing="0" w:line="600" w:lineRule="exact"/>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　　一、收入支出决算总表</w:t>
      </w:r>
    </w:p>
    <w:p>
      <w:pPr>
        <w:pStyle w:val="4"/>
        <w:shd w:val="clear" w:color="auto" w:fill="FFFFFF"/>
        <w:spacing w:before="0" w:beforeAutospacing="0" w:after="0" w:afterAutospacing="0" w:line="60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　　二、收入决算表</w:t>
      </w:r>
    </w:p>
    <w:p>
      <w:pPr>
        <w:pStyle w:val="4"/>
        <w:shd w:val="clear" w:color="auto" w:fill="FFFFFF"/>
        <w:spacing w:before="0" w:beforeAutospacing="0" w:after="0" w:afterAutospacing="0" w:line="60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　　三、支出决算表</w:t>
      </w:r>
    </w:p>
    <w:p>
      <w:pPr>
        <w:pStyle w:val="4"/>
        <w:shd w:val="clear" w:color="auto" w:fill="FFFFFF"/>
        <w:spacing w:before="0" w:beforeAutospacing="0" w:after="0" w:afterAutospacing="0" w:line="60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　　四、财政拨款收入支出决算总表</w:t>
      </w:r>
    </w:p>
    <w:p>
      <w:pPr>
        <w:pStyle w:val="4"/>
        <w:shd w:val="clear" w:color="auto" w:fill="FFFFFF"/>
        <w:spacing w:before="0" w:beforeAutospacing="0" w:after="0" w:afterAutospacing="0" w:line="60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　　五、一般公共预算财政拨款支出决算表</w:t>
      </w:r>
    </w:p>
    <w:p>
      <w:pPr>
        <w:pStyle w:val="4"/>
        <w:shd w:val="clear" w:color="auto" w:fill="FFFFFF"/>
        <w:spacing w:before="0" w:beforeAutospacing="0" w:after="0" w:afterAutospacing="0" w:line="60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　　六、一般公共预算财政拨款基本支出决算明细表</w:t>
      </w:r>
    </w:p>
    <w:p>
      <w:pPr>
        <w:pStyle w:val="4"/>
        <w:shd w:val="clear" w:color="auto" w:fill="FFFFFF"/>
        <w:spacing w:before="0" w:beforeAutospacing="0" w:after="0" w:afterAutospacing="0" w:line="600" w:lineRule="exact"/>
        <w:ind w:firstLine="645"/>
        <w:rPr>
          <w:rFonts w:ascii="仿宋_GB2312" w:hAnsi="微软雅黑" w:eastAsia="仿宋_GB2312"/>
          <w:color w:val="000000"/>
          <w:sz w:val="32"/>
          <w:szCs w:val="32"/>
        </w:rPr>
      </w:pPr>
      <w:r>
        <w:rPr>
          <w:rFonts w:hint="eastAsia" w:ascii="仿宋_GB2312" w:hAnsi="微软雅黑" w:eastAsia="仿宋_GB2312"/>
          <w:color w:val="000000"/>
          <w:sz w:val="32"/>
          <w:szCs w:val="32"/>
        </w:rPr>
        <w:t>七、政府性基金预算财政拨款收入支出决算表</w:t>
      </w:r>
    </w:p>
    <w:p>
      <w:pPr>
        <w:pStyle w:val="4"/>
        <w:shd w:val="clear" w:color="auto" w:fill="FFFFFF"/>
        <w:spacing w:before="0" w:beforeAutospacing="0" w:after="0" w:afterAutospacing="0" w:line="600" w:lineRule="exact"/>
        <w:ind w:firstLine="640"/>
        <w:rPr>
          <w:rFonts w:ascii="仿宋_GB2312" w:hAnsi="微软雅黑" w:eastAsia="仿宋_GB2312"/>
          <w:color w:val="000000"/>
          <w:sz w:val="32"/>
          <w:szCs w:val="32"/>
        </w:rPr>
      </w:pPr>
      <w:r>
        <w:rPr>
          <w:rFonts w:hint="eastAsia" w:ascii="仿宋_GB2312" w:hAnsi="微软雅黑" w:eastAsia="仿宋_GB2312"/>
          <w:color w:val="000000"/>
          <w:sz w:val="32"/>
          <w:szCs w:val="32"/>
        </w:rPr>
        <w:t>八、国有资本经营预算财政拨款支出决算表</w:t>
      </w:r>
    </w:p>
    <w:p>
      <w:pPr>
        <w:pStyle w:val="4"/>
        <w:shd w:val="clear" w:color="auto" w:fill="FFFFFF"/>
        <w:spacing w:before="0" w:beforeAutospacing="0" w:after="0" w:afterAutospacing="0" w:line="600" w:lineRule="exact"/>
        <w:ind w:firstLine="640"/>
        <w:rPr>
          <w:rFonts w:ascii="仿宋_GB2312" w:hAnsi="微软雅黑" w:eastAsia="仿宋_GB2312"/>
          <w:color w:val="000000"/>
          <w:sz w:val="32"/>
          <w:szCs w:val="32"/>
        </w:rPr>
      </w:pPr>
      <w:r>
        <w:rPr>
          <w:rFonts w:hint="eastAsia" w:ascii="仿宋_GB2312" w:hAnsi="微软雅黑" w:eastAsia="仿宋_GB2312"/>
          <w:color w:val="000000"/>
          <w:sz w:val="32"/>
          <w:szCs w:val="32"/>
        </w:rPr>
        <w:t>九、财政拨款“三公经费”支出决算表</w:t>
      </w:r>
    </w:p>
    <w:p>
      <w:pPr>
        <w:pStyle w:val="4"/>
        <w:shd w:val="clear" w:color="auto" w:fill="FFFFFF"/>
        <w:spacing w:before="0" w:beforeAutospacing="0" w:after="0" w:afterAutospacing="0" w:line="600" w:lineRule="exact"/>
        <w:rPr>
          <w:rFonts w:ascii="黑体" w:hAnsi="黑体" w:eastAsia="黑体"/>
          <w:color w:val="000000"/>
          <w:sz w:val="32"/>
          <w:szCs w:val="32"/>
        </w:rPr>
      </w:pPr>
      <w:r>
        <w:rPr>
          <w:rFonts w:hint="eastAsia" w:ascii="黑体" w:hAnsi="黑体" w:eastAsia="黑体"/>
          <w:color w:val="000000"/>
          <w:sz w:val="27"/>
          <w:szCs w:val="27"/>
        </w:rPr>
        <w:t>　　</w:t>
      </w:r>
      <w:r>
        <w:rPr>
          <w:rFonts w:hint="eastAsia" w:ascii="黑体" w:hAnsi="黑体" w:eastAsia="黑体"/>
          <w:color w:val="000000"/>
          <w:sz w:val="32"/>
          <w:szCs w:val="32"/>
        </w:rPr>
        <w:t>第三部分 2024年度部门决算情况说明</w:t>
      </w:r>
    </w:p>
    <w:p>
      <w:pPr>
        <w:pStyle w:val="4"/>
        <w:shd w:val="clear" w:color="auto" w:fill="FFFFFF"/>
        <w:spacing w:before="0" w:beforeAutospacing="0" w:after="0" w:afterAutospacing="0" w:line="600" w:lineRule="exact"/>
        <w:ind w:firstLine="566" w:firstLineChars="177"/>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第四部分 名词解释</w:t>
      </w:r>
    </w:p>
    <w:p>
      <w:pPr>
        <w:pStyle w:val="4"/>
        <w:shd w:val="clear" w:color="auto" w:fill="FFFFFF"/>
        <w:spacing w:before="0" w:beforeAutospacing="0" w:after="0" w:afterAutospacing="0" w:line="600" w:lineRule="exact"/>
        <w:ind w:firstLine="566" w:firstLineChars="177"/>
        <w:rPr>
          <w:rFonts w:ascii="黑体" w:hAnsi="黑体" w:eastAsia="黑体"/>
          <w:color w:val="000000" w:themeColor="text1"/>
          <w:sz w:val="32"/>
          <w:szCs w:val="32"/>
          <w14:textFill>
            <w14:solidFill>
              <w14:schemeClr w14:val="tx1"/>
            </w14:solidFill>
          </w14:textFill>
        </w:rPr>
      </w:pPr>
    </w:p>
    <w:p>
      <w:pPr>
        <w:pStyle w:val="4"/>
        <w:shd w:val="clear" w:color="auto" w:fill="FFFFFF"/>
        <w:spacing w:before="0" w:beforeAutospacing="0" w:after="0" w:afterAutospacing="0" w:line="600" w:lineRule="exact"/>
        <w:rPr>
          <w:rFonts w:ascii="黑体" w:hAnsi="黑体" w:eastAsia="黑体"/>
          <w:color w:val="000000"/>
          <w:sz w:val="32"/>
          <w:szCs w:val="32"/>
        </w:rPr>
      </w:pPr>
    </w:p>
    <w:p>
      <w:pPr>
        <w:spacing w:line="600" w:lineRule="exact"/>
        <w:jc w:val="center"/>
        <w:rPr>
          <w:rFonts w:ascii="黑体" w:hAnsi="黑体" w:eastAsia="黑体"/>
          <w:bCs/>
          <w:sz w:val="32"/>
          <w:szCs w:val="32"/>
        </w:rPr>
      </w:pPr>
    </w:p>
    <w:p>
      <w:pPr>
        <w:spacing w:line="600" w:lineRule="exact"/>
        <w:jc w:val="center"/>
        <w:rPr>
          <w:rFonts w:ascii="黑体" w:hAnsi="黑体" w:eastAsia="黑体"/>
          <w:bCs/>
          <w:sz w:val="32"/>
          <w:szCs w:val="32"/>
        </w:rPr>
      </w:pPr>
      <w:r>
        <w:rPr>
          <w:rFonts w:hint="eastAsia" w:ascii="黑体" w:hAnsi="黑体" w:eastAsia="黑体"/>
          <w:bCs/>
          <w:sz w:val="32"/>
          <w:szCs w:val="32"/>
        </w:rPr>
        <w:t>第一部分 国家中医药博物馆概况</w:t>
      </w:r>
    </w:p>
    <w:p>
      <w:pPr>
        <w:spacing w:line="600" w:lineRule="exact"/>
        <w:rPr>
          <w:rFonts w:ascii="仿宋_GB2312" w:eastAsia="仿宋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bCs/>
          <w:sz w:val="32"/>
          <w:szCs w:val="32"/>
        </w:rPr>
        <w:t>一、主要职责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国家中医药博物馆是国家中医药管理局直属的公益一类事业单位，主要职责如下：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（一）负责中医药文物、藏品、见证物的收集、保护和研究等。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（二）负责举办中医药陈列展览、巡回展览等展览工作。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（三）组织开展中医药文物藏品、传统知识保护推广工作。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（四）承担传承弘扬中医药文化，科学普及中医药健康知识，举办学术交流等活动。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（五）组织开展中医药历史文化、古籍文献保护等研究，编辑整理文字、图片、音像资料等。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（六）组织开展中医药健康教育、互动体验、文化创意、国际交流等活动。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（七）承办国家中医药管理局交办的其他事项。</w:t>
      </w:r>
    </w:p>
    <w:p>
      <w:pPr>
        <w:spacing w:line="600" w:lineRule="exact"/>
        <w:ind w:firstLine="640" w:firstLineChars="200"/>
        <w:jc w:val="left"/>
        <w:rPr>
          <w:rFonts w:ascii="黑体" w:hAnsi="黑体" w:eastAsia="黑体"/>
          <w:bCs/>
          <w:sz w:val="32"/>
          <w:szCs w:val="32"/>
        </w:rPr>
      </w:pPr>
      <w:r>
        <w:rPr>
          <w:rFonts w:hint="eastAsia" w:ascii="黑体" w:hAnsi="黑体" w:eastAsia="黑体"/>
          <w:bCs/>
          <w:sz w:val="32"/>
          <w:szCs w:val="32"/>
        </w:rPr>
        <w:t>二、单位内设机构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（一）国家中医药博物馆设10个内设机构（正处级），分别是：党政办公室、人事处、财务审计处、行政基建处、藏品管理部、展览策划部、研究部、文创事业部、社会教育部、信息数据部。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（二）国家中医药博物馆财政补助事业编制55名。其中，领导班子职数1正3副（含党组织领导职数1名）；内设机构正副职领导职数23名。</w:t>
      </w:r>
    </w:p>
    <w:p>
      <w:pPr>
        <w:pStyle w:val="4"/>
        <w:shd w:val="clear" w:color="auto" w:fill="FFFFFF"/>
        <w:spacing w:before="0" w:beforeAutospacing="0" w:after="0" w:afterAutospacing="0" w:line="600" w:lineRule="exact"/>
        <w:ind w:firstLine="480"/>
        <w:rPr>
          <w:rFonts w:ascii="微软雅黑" w:hAnsi="微软雅黑" w:eastAsia="微软雅黑"/>
          <w:color w:val="000000"/>
          <w:sz w:val="21"/>
          <w:szCs w:val="21"/>
        </w:rPr>
      </w:pPr>
    </w:p>
    <w:p>
      <w:pPr>
        <w:pStyle w:val="4"/>
        <w:shd w:val="clear" w:color="auto" w:fill="FFFFFF"/>
        <w:spacing w:before="0" w:beforeAutospacing="0" w:after="0" w:afterAutospacing="0" w:line="600" w:lineRule="exact"/>
        <w:jc w:val="center"/>
        <w:rPr>
          <w:rFonts w:ascii="黑体" w:hAnsi="黑体" w:eastAsia="黑体"/>
          <w:color w:val="000000"/>
          <w:sz w:val="32"/>
          <w:szCs w:val="32"/>
        </w:rPr>
      </w:pPr>
      <w:r>
        <w:rPr>
          <w:rFonts w:hint="eastAsia" w:ascii="黑体" w:hAnsi="黑体" w:eastAsia="黑体"/>
          <w:color w:val="000000"/>
          <w:sz w:val="32"/>
          <w:szCs w:val="32"/>
        </w:rPr>
        <w:t>第二部分 2024年度部门决算表</w:t>
      </w:r>
    </w:p>
    <w:p>
      <w:pPr>
        <w:pStyle w:val="4"/>
        <w:shd w:val="clear" w:color="auto" w:fill="FFFFFF"/>
        <w:spacing w:before="0" w:beforeAutospacing="0" w:after="0" w:afterAutospacing="0" w:line="600" w:lineRule="exact"/>
        <w:jc w:val="center"/>
        <w:rPr>
          <w:rFonts w:ascii="微软雅黑" w:hAnsi="微软雅黑" w:eastAsia="微软雅黑"/>
          <w:color w:val="000000"/>
          <w:sz w:val="32"/>
          <w:szCs w:val="32"/>
        </w:rPr>
      </w:pP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6055" cy="3825240"/>
            <wp:effectExtent l="0" t="0" r="10795"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6055" cy="3825240"/>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7960" cy="1847850"/>
            <wp:effectExtent l="0" t="0" r="889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7960" cy="1847850"/>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9865" cy="1752600"/>
            <wp:effectExtent l="0" t="0" r="698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269865" cy="1752600"/>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2245" cy="3127375"/>
            <wp:effectExtent l="0" t="0" r="14605" b="1587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5262245" cy="3127375"/>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6690" cy="2177415"/>
            <wp:effectExtent l="0" t="0" r="10160" b="1333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9"/>
                    <a:stretch>
                      <a:fillRect/>
                    </a:stretch>
                  </pic:blipFill>
                  <pic:spPr>
                    <a:xfrm>
                      <a:off x="0" y="0"/>
                      <a:ext cx="5266690" cy="2177415"/>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6690" cy="2562860"/>
            <wp:effectExtent l="0" t="0" r="10160" b="889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0"/>
                    <a:stretch>
                      <a:fillRect/>
                    </a:stretch>
                  </pic:blipFill>
                  <pic:spPr>
                    <a:xfrm>
                      <a:off x="0" y="0"/>
                      <a:ext cx="5266690" cy="2562860"/>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65420" cy="1003300"/>
            <wp:effectExtent l="0" t="0" r="11430" b="635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1"/>
                    <a:stretch>
                      <a:fillRect/>
                    </a:stretch>
                  </pic:blipFill>
                  <pic:spPr>
                    <a:xfrm>
                      <a:off x="0" y="0"/>
                      <a:ext cx="5265420" cy="1003300"/>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73040" cy="1240155"/>
            <wp:effectExtent l="0" t="0" r="3810" b="1714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2"/>
                    <a:stretch>
                      <a:fillRect/>
                    </a:stretch>
                  </pic:blipFill>
                  <pic:spPr>
                    <a:xfrm>
                      <a:off x="0" y="0"/>
                      <a:ext cx="5273040" cy="1240155"/>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r>
        <w:drawing>
          <wp:inline distT="0" distB="0" distL="114300" distR="114300">
            <wp:extent cx="5274310" cy="1156335"/>
            <wp:effectExtent l="0" t="0" r="2540" b="571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3"/>
                    <a:stretch>
                      <a:fillRect/>
                    </a:stretch>
                  </pic:blipFill>
                  <pic:spPr>
                    <a:xfrm>
                      <a:off x="0" y="0"/>
                      <a:ext cx="5274310" cy="1156335"/>
                    </a:xfrm>
                    <a:prstGeom prst="rect">
                      <a:avLst/>
                    </a:prstGeom>
                    <a:noFill/>
                    <a:ln>
                      <a:noFill/>
                    </a:ln>
                  </pic:spPr>
                </pic:pic>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21"/>
          <w:szCs w:val="21"/>
        </w:rPr>
      </w:pPr>
    </w:p>
    <w:p>
      <w:pPr>
        <w:pStyle w:val="4"/>
        <w:shd w:val="clear" w:color="auto" w:fill="FFFFFF"/>
        <w:spacing w:before="0" w:beforeAutospacing="0" w:after="0" w:afterAutospacing="0" w:line="600" w:lineRule="exact"/>
        <w:jc w:val="center"/>
        <w:rPr>
          <w:rFonts w:ascii="黑体" w:hAnsi="黑体" w:eastAsia="黑体"/>
          <w:color w:val="000000"/>
          <w:sz w:val="32"/>
          <w:szCs w:val="32"/>
        </w:rPr>
      </w:pPr>
      <w:r>
        <w:rPr>
          <w:rFonts w:hint="eastAsia" w:ascii="黑体" w:hAnsi="黑体" w:eastAsia="黑体"/>
          <w:color w:val="000000"/>
          <w:sz w:val="32"/>
          <w:szCs w:val="32"/>
        </w:rPr>
        <w:t>第三部分 2024年度部门决算情况说明</w:t>
      </w:r>
    </w:p>
    <w:p>
      <w:pPr>
        <w:pStyle w:val="4"/>
        <w:shd w:val="clear" w:color="auto" w:fill="FFFFFF"/>
        <w:spacing w:before="0" w:beforeAutospacing="0" w:after="0" w:afterAutospacing="0" w:line="600" w:lineRule="exact"/>
        <w:jc w:val="center"/>
        <w:rPr>
          <w:rFonts w:ascii="黑体" w:hAnsi="黑体" w:eastAsia="黑体"/>
          <w:color w:val="000000"/>
          <w:sz w:val="32"/>
          <w:szCs w:val="32"/>
        </w:rPr>
      </w:pPr>
    </w:p>
    <w:p>
      <w:pPr>
        <w:pStyle w:val="4"/>
        <w:shd w:val="clear" w:color="auto" w:fill="FFFFFF"/>
        <w:spacing w:before="0" w:beforeAutospacing="0" w:after="0" w:afterAutospacing="0" w:line="600" w:lineRule="exact"/>
        <w:ind w:firstLine="480"/>
        <w:jc w:val="both"/>
        <w:rPr>
          <w:rFonts w:ascii="黑体" w:hAnsi="黑体" w:eastAsia="黑体"/>
          <w:color w:val="000000"/>
          <w:sz w:val="32"/>
          <w:szCs w:val="32"/>
        </w:rPr>
      </w:pPr>
      <w:r>
        <w:rPr>
          <w:rFonts w:hint="eastAsia" w:ascii="黑体" w:hAnsi="黑体" w:eastAsia="黑体"/>
          <w:color w:val="000000"/>
          <w:sz w:val="32"/>
          <w:szCs w:val="32"/>
        </w:rPr>
        <w:t>一、关于2024年度部门收入支出决算情况的总体说明</w:t>
      </w:r>
    </w:p>
    <w:p>
      <w:pPr>
        <w:pStyle w:val="4"/>
        <w:shd w:val="clear" w:color="auto" w:fill="FFFFFF"/>
        <w:spacing w:before="0" w:beforeAutospacing="0" w:after="0" w:afterAutospacing="0" w:line="600" w:lineRule="exact"/>
        <w:ind w:firstLine="482"/>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（一）总收支。2024年度本年收入1440.50万元，年初结转和结余346.04万元，本年支出1537.51万元，年末结转和结余249.03万元。</w:t>
      </w:r>
    </w:p>
    <w:p>
      <w:pPr>
        <w:pStyle w:val="4"/>
        <w:shd w:val="clear" w:color="auto" w:fill="FFFFFF"/>
        <w:spacing w:before="0" w:beforeAutospacing="0" w:after="0" w:afterAutospacing="0" w:line="600" w:lineRule="exact"/>
        <w:ind w:firstLine="482"/>
        <w:jc w:val="both"/>
        <w:rPr>
          <w:rFonts w:ascii="微软雅黑" w:hAnsi="微软雅黑" w:eastAsia="微软雅黑"/>
          <w:color w:val="000000"/>
          <w:sz w:val="32"/>
          <w:szCs w:val="32"/>
        </w:rPr>
      </w:pPr>
      <w:r>
        <w:rPr>
          <w:rFonts w:hint="eastAsia" w:ascii="仿宋_GB2312" w:hAnsi="微软雅黑" w:eastAsia="仿宋_GB2312"/>
          <w:color w:val="000000"/>
          <w:sz w:val="32"/>
          <w:szCs w:val="32"/>
        </w:rPr>
        <w:t>（二）一般公共预算财政拨款收支。2024年度结转和结余68.18万元，本年收入1251.78万元，本年支出1273.02万元，年末结转和结余46.94万元。</w:t>
      </w: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黑体" w:hAnsi="黑体" w:eastAsia="黑体"/>
          <w:color w:val="000000"/>
          <w:sz w:val="32"/>
          <w:szCs w:val="32"/>
        </w:rPr>
        <w:t>二、关于2024年度部门收入决算的说明</w:t>
      </w:r>
    </w:p>
    <w:p>
      <w:pPr>
        <w:pStyle w:val="4"/>
        <w:shd w:val="clear" w:color="auto" w:fill="FFFFFF"/>
        <w:spacing w:before="0" w:beforeAutospacing="0" w:after="0" w:afterAutospacing="0" w:line="600" w:lineRule="exact"/>
        <w:ind w:firstLine="48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2024年度收入决算1440.50万元，其中：财政拨款收入1251.78万元，占86.90%；事业收入164.95万元，占11.45%;其他收入23.77万元，占1.65%。</w:t>
      </w:r>
    </w:p>
    <w:p>
      <w:pPr>
        <w:pStyle w:val="4"/>
        <w:shd w:val="clear" w:color="auto" w:fill="FFFFFF"/>
        <w:spacing w:before="0" w:beforeAutospacing="0" w:after="0" w:afterAutospacing="0"/>
        <w:jc w:val="both"/>
        <w:rPr>
          <w:rFonts w:ascii="微软雅黑" w:hAnsi="微软雅黑" w:eastAsia="微软雅黑"/>
          <w:color w:val="000000"/>
          <w:sz w:val="32"/>
          <w:szCs w:val="32"/>
        </w:rPr>
      </w:pPr>
      <w:r>
        <w:drawing>
          <wp:inline distT="0" distB="0" distL="114300" distR="114300">
            <wp:extent cx="5268595" cy="3311525"/>
            <wp:effectExtent l="4445" t="4445" r="22860"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黑体" w:hAnsi="黑体" w:eastAsia="黑体"/>
          <w:color w:val="000000"/>
          <w:sz w:val="32"/>
          <w:szCs w:val="32"/>
        </w:rPr>
        <w:t>三、关于2024年度部门支出决算的说明</w:t>
      </w:r>
    </w:p>
    <w:p>
      <w:pPr>
        <w:pStyle w:val="4"/>
        <w:shd w:val="clear" w:color="auto" w:fill="FFFFFF"/>
        <w:spacing w:before="0" w:beforeAutospacing="0" w:after="0" w:afterAutospacing="0" w:line="600" w:lineRule="exact"/>
        <w:ind w:firstLine="48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2024年度支出决算1537.51万元，其中：基本支出846.80元，占55.08%，项目中支出690.72万元，占44.92%。</w:t>
      </w:r>
    </w:p>
    <w:p>
      <w:pPr>
        <w:pStyle w:val="4"/>
        <w:shd w:val="clear" w:color="auto" w:fill="FFFFFF"/>
        <w:spacing w:before="0" w:beforeAutospacing="0" w:after="0" w:afterAutospacing="0"/>
        <w:jc w:val="both"/>
        <w:rPr>
          <w:rFonts w:ascii="微软雅黑" w:hAnsi="微软雅黑" w:eastAsia="微软雅黑"/>
          <w:color w:val="000000"/>
          <w:sz w:val="32"/>
          <w:szCs w:val="32"/>
        </w:rPr>
      </w:pPr>
      <w:r>
        <w:drawing>
          <wp:inline distT="0" distB="0" distL="114300" distR="114300">
            <wp:extent cx="5269230" cy="3387725"/>
            <wp:effectExtent l="4445" t="4445" r="22225" b="17780"/>
            <wp:docPr id="1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32"/>
          <w:szCs w:val="32"/>
        </w:rPr>
      </w:pPr>
    </w:p>
    <w:p>
      <w:pPr>
        <w:pStyle w:val="4"/>
        <w:shd w:val="clear" w:color="auto" w:fill="FFFFFF"/>
        <w:spacing w:before="0" w:beforeAutospacing="0" w:after="0" w:afterAutospacing="0"/>
        <w:jc w:val="both"/>
        <w:rPr>
          <w:rFonts w:ascii="微软雅黑" w:hAnsi="微软雅黑" w:eastAsia="微软雅黑"/>
          <w:color w:val="000000"/>
          <w:sz w:val="32"/>
          <w:szCs w:val="32"/>
        </w:rPr>
      </w:pP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黑体" w:hAnsi="黑体" w:eastAsia="黑体"/>
          <w:color w:val="000000"/>
          <w:sz w:val="32"/>
          <w:szCs w:val="32"/>
        </w:rPr>
        <w:t>四、关于2024年度财政拨款收入支出决算的说明</w:t>
      </w:r>
    </w:p>
    <w:p>
      <w:pPr>
        <w:pStyle w:val="4"/>
        <w:shd w:val="clear" w:color="auto" w:fill="FFFFFF"/>
        <w:spacing w:before="0" w:beforeAutospacing="0" w:after="0" w:afterAutospacing="0" w:line="600" w:lineRule="exact"/>
        <w:ind w:firstLine="48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2024年度年初财政拨款结转和结余68.18万元，收入决算1251.78万元，其中：一般公</w:t>
      </w:r>
      <w:r>
        <w:rPr>
          <w:rFonts w:hint="eastAsia" w:ascii="仿宋_GB2312" w:hAnsi="微软雅黑" w:eastAsia="仿宋_GB2312"/>
          <w:color w:val="000000"/>
          <w:sz w:val="32"/>
          <w:szCs w:val="32"/>
          <w:lang w:val="en-US" w:eastAsia="zh-CN"/>
        </w:rPr>
        <w:t>共</w:t>
      </w:r>
      <w:r>
        <w:rPr>
          <w:rFonts w:hint="eastAsia" w:ascii="仿宋_GB2312" w:hAnsi="微软雅黑" w:eastAsia="仿宋_GB2312"/>
          <w:color w:val="000000"/>
          <w:sz w:val="32"/>
          <w:szCs w:val="32"/>
        </w:rPr>
        <w:t>预算财政拨款1251.78万元；决算支出1273.02万元，其中：社会保障和就业支出91.91万元，卫生健康支出1115.47万元，住房保障支出65.63万元；年末财政拨款结转和结余46.94万元。</w:t>
      </w:r>
    </w:p>
    <w:p>
      <w:pPr>
        <w:pStyle w:val="4"/>
        <w:shd w:val="clear" w:color="auto" w:fill="FFFFFF"/>
        <w:spacing w:before="0" w:beforeAutospacing="0" w:after="0" w:afterAutospacing="0"/>
        <w:jc w:val="both"/>
        <w:rPr>
          <w:rFonts w:ascii="微软雅黑" w:hAnsi="微软雅黑" w:eastAsia="微软雅黑"/>
          <w:color w:val="000000"/>
          <w:sz w:val="32"/>
          <w:szCs w:val="32"/>
        </w:rPr>
      </w:pPr>
      <w:r>
        <w:drawing>
          <wp:inline distT="0" distB="0" distL="114300" distR="114300">
            <wp:extent cx="5273040" cy="3395345"/>
            <wp:effectExtent l="4445" t="4445" r="18415" b="10160"/>
            <wp:docPr id="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4"/>
        <w:shd w:val="clear" w:color="auto" w:fill="FFFFFF"/>
        <w:spacing w:before="0" w:beforeAutospacing="0" w:after="0" w:afterAutospacing="0"/>
        <w:jc w:val="both"/>
        <w:rPr>
          <w:rFonts w:ascii="微软雅黑" w:hAnsi="微软雅黑" w:eastAsia="微软雅黑"/>
          <w:color w:val="000000"/>
          <w:sz w:val="32"/>
          <w:szCs w:val="32"/>
        </w:rPr>
      </w:pPr>
      <w:r>
        <w:drawing>
          <wp:inline distT="0" distB="0" distL="114300" distR="114300">
            <wp:extent cx="5273040" cy="3293110"/>
            <wp:effectExtent l="4445" t="4445" r="18415" b="17145"/>
            <wp:docPr id="1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黑体" w:hAnsi="黑体" w:eastAsia="黑体"/>
          <w:color w:val="000000"/>
          <w:sz w:val="32"/>
          <w:szCs w:val="32"/>
        </w:rPr>
        <w:t>五、关于2024年度一般公共预算财政拨款支出决算的说明</w:t>
      </w: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仿宋_GB2312" w:hAnsi="微软雅黑" w:eastAsia="仿宋_GB2312"/>
          <w:color w:val="000000"/>
          <w:sz w:val="32"/>
          <w:szCs w:val="32"/>
        </w:rPr>
        <w:t>2024年度年初一般公共预算财政拨款结转和结余68.18万元，其中：基本支出结转64.28万元，项目支出结转3.91万元；决算</w:t>
      </w:r>
      <w:r>
        <w:rPr>
          <w:rFonts w:hint="eastAsia" w:ascii="仿宋_GB2312" w:hAnsi="微软雅黑" w:eastAsia="仿宋_GB2312"/>
          <w:color w:val="000000"/>
          <w:sz w:val="32"/>
          <w:szCs w:val="32"/>
          <w:lang w:val="en-US" w:eastAsia="zh-CN"/>
        </w:rPr>
        <w:t>支出</w:t>
      </w:r>
      <w:r>
        <w:rPr>
          <w:rFonts w:hint="eastAsia" w:ascii="仿宋_GB2312" w:hAnsi="微软雅黑" w:eastAsia="仿宋_GB2312"/>
          <w:color w:val="000000"/>
          <w:sz w:val="32"/>
          <w:szCs w:val="32"/>
        </w:rPr>
        <w:t>1</w:t>
      </w:r>
      <w:r>
        <w:rPr>
          <w:rFonts w:hint="eastAsia" w:ascii="仿宋_GB2312" w:hAnsi="微软雅黑" w:eastAsia="仿宋_GB2312"/>
          <w:color w:val="000000"/>
          <w:sz w:val="32"/>
          <w:szCs w:val="32"/>
          <w:lang w:val="en-US" w:eastAsia="zh-CN"/>
        </w:rPr>
        <w:t>273.02</w:t>
      </w:r>
      <w:r>
        <w:rPr>
          <w:rFonts w:hint="eastAsia" w:ascii="仿宋_GB2312" w:hAnsi="微软雅黑" w:eastAsia="仿宋_GB2312"/>
          <w:color w:val="000000"/>
          <w:sz w:val="32"/>
          <w:szCs w:val="32"/>
        </w:rPr>
        <w:t>万元，基本支出582.30万元，</w:t>
      </w:r>
      <w:r>
        <w:rPr>
          <w:rFonts w:hint="eastAsia" w:ascii="仿宋_GB2312" w:hAnsi="微软雅黑" w:eastAsia="仿宋_GB2312"/>
          <w:color w:val="000000"/>
          <w:sz w:val="32"/>
          <w:szCs w:val="32"/>
          <w:lang w:val="en-US" w:eastAsia="zh-CN"/>
        </w:rPr>
        <w:t>其中：社会保证和就业支出91.91万元，卫生健康支出425.75万元，住房改革支出65.63万元；</w:t>
      </w:r>
      <w:r>
        <w:rPr>
          <w:rFonts w:hint="eastAsia" w:ascii="仿宋_GB2312" w:hAnsi="微软雅黑" w:eastAsia="仿宋_GB2312"/>
          <w:color w:val="000000"/>
          <w:sz w:val="32"/>
          <w:szCs w:val="32"/>
        </w:rPr>
        <w:t>项目支出690.72万元</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全部为卫生健康支出</w:t>
      </w:r>
      <w:r>
        <w:rPr>
          <w:rFonts w:hint="eastAsia" w:ascii="仿宋_GB2312" w:hAnsi="微软雅黑" w:eastAsia="仿宋_GB2312"/>
          <w:color w:val="000000"/>
          <w:sz w:val="32"/>
          <w:szCs w:val="32"/>
        </w:rPr>
        <w:t>；年末一般公共预算财政拨款结转和结余46.94万元，其中：基本支出结转46.52万元，项目支出结转0.42万元。</w:t>
      </w: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黑体" w:hAnsi="黑体" w:eastAsia="黑体"/>
          <w:color w:val="000000"/>
          <w:sz w:val="32"/>
          <w:szCs w:val="32"/>
        </w:rPr>
        <w:t>六、关于2024年度一般公共预算财政拨款基本支出决算的说明</w:t>
      </w:r>
    </w:p>
    <w:p>
      <w:pPr>
        <w:pStyle w:val="4"/>
        <w:shd w:val="clear" w:color="auto" w:fill="FFFFFF"/>
        <w:spacing w:before="0" w:beforeAutospacing="0" w:after="0" w:afterAutospacing="0" w:line="600" w:lineRule="exact"/>
        <w:ind w:firstLine="48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2024年度一般公共预算财政拨款基本支出582.30万元，其中：人员经费491.43万元，主要包括基本工资、津贴补贴、绩效工资、机关事业单位基本养老保险缴费、职业年金缴费、住房公积金。公用经费90.87万元，主要包括：办公费、印刷费、电费、邮电费、差旅费、维修（护）费、租赁费、会议费、培训费、劳务费、委托业务费、工会经费、税金及附加费用、其他商品和服务支出。</w:t>
      </w:r>
    </w:p>
    <w:p>
      <w:pPr>
        <w:pStyle w:val="4"/>
        <w:shd w:val="clear" w:color="auto" w:fill="FFFFFF"/>
        <w:spacing w:before="0" w:beforeAutospacing="0" w:after="0" w:afterAutospacing="0"/>
        <w:jc w:val="both"/>
        <w:rPr>
          <w:rFonts w:ascii="仿宋_GB2312" w:hAnsi="微软雅黑" w:eastAsia="仿宋_GB2312"/>
          <w:color w:val="000000"/>
          <w:sz w:val="32"/>
          <w:szCs w:val="32"/>
        </w:rPr>
      </w:pPr>
      <w:r>
        <w:drawing>
          <wp:inline distT="0" distB="0" distL="114300" distR="114300">
            <wp:extent cx="5271135" cy="3376295"/>
            <wp:effectExtent l="4445" t="4445" r="20320" b="10160"/>
            <wp:docPr id="2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4"/>
        <w:shd w:val="clear" w:color="auto" w:fill="FFFFFF"/>
        <w:spacing w:before="0" w:beforeAutospacing="0" w:after="0" w:afterAutospacing="0" w:line="600" w:lineRule="exact"/>
        <w:ind w:firstLine="482"/>
        <w:jc w:val="both"/>
        <w:rPr>
          <w:rFonts w:ascii="微软雅黑" w:hAnsi="微软雅黑" w:eastAsia="微软雅黑"/>
          <w:color w:val="000000"/>
          <w:sz w:val="32"/>
          <w:szCs w:val="32"/>
        </w:rPr>
      </w:pPr>
      <w:r>
        <w:rPr>
          <w:rFonts w:hint="eastAsia" w:ascii="黑体" w:hAnsi="黑体" w:eastAsia="黑体"/>
          <w:color w:val="000000"/>
          <w:sz w:val="32"/>
          <w:szCs w:val="32"/>
        </w:rPr>
        <w:t>七、关于2024年度政府性基金预算财政拨款收入支出决算的说明</w:t>
      </w:r>
    </w:p>
    <w:p>
      <w:pPr>
        <w:pStyle w:val="4"/>
        <w:shd w:val="clear" w:color="auto" w:fill="FFFFFF"/>
        <w:spacing w:before="0" w:beforeAutospacing="0" w:after="0" w:afterAutospacing="0" w:line="600" w:lineRule="exact"/>
        <w:ind w:firstLine="482"/>
        <w:jc w:val="both"/>
        <w:rPr>
          <w:rFonts w:ascii="微软雅黑" w:hAnsi="微软雅黑" w:eastAsia="微软雅黑"/>
          <w:color w:val="000000"/>
          <w:sz w:val="32"/>
          <w:szCs w:val="32"/>
        </w:rPr>
      </w:pPr>
      <w:r>
        <w:rPr>
          <w:rFonts w:hint="eastAsia" w:ascii="仿宋_GB2312" w:hAnsi="微软雅黑" w:eastAsia="仿宋_GB2312"/>
          <w:color w:val="000000"/>
          <w:sz w:val="32"/>
          <w:szCs w:val="32"/>
        </w:rPr>
        <w:t>2024年度无政府性基金预算财政拨款收支。</w:t>
      </w:r>
    </w:p>
    <w:p>
      <w:pPr>
        <w:pStyle w:val="4"/>
        <w:shd w:val="clear" w:color="auto" w:fill="FFFFFF"/>
        <w:spacing w:before="0" w:beforeAutospacing="0" w:after="0" w:afterAutospacing="0" w:line="600" w:lineRule="exact"/>
        <w:ind w:firstLine="480"/>
        <w:jc w:val="both"/>
        <w:rPr>
          <w:rFonts w:ascii="微软雅黑" w:hAnsi="微软雅黑" w:eastAsia="微软雅黑"/>
          <w:color w:val="000000"/>
          <w:sz w:val="32"/>
          <w:szCs w:val="32"/>
        </w:rPr>
      </w:pPr>
      <w:r>
        <w:rPr>
          <w:rFonts w:hint="eastAsia" w:ascii="黑体" w:hAnsi="黑体" w:eastAsia="黑体"/>
          <w:color w:val="000000"/>
          <w:sz w:val="32"/>
          <w:szCs w:val="32"/>
        </w:rPr>
        <w:t>八、关于2024年度国有资本经营预算财政拨款收入支出决算的说明</w:t>
      </w:r>
    </w:p>
    <w:p>
      <w:pPr>
        <w:pStyle w:val="4"/>
        <w:shd w:val="clear" w:color="auto" w:fill="FFFFFF"/>
        <w:spacing w:before="0" w:beforeAutospacing="0" w:after="0" w:afterAutospacing="0" w:line="600" w:lineRule="exact"/>
        <w:ind w:firstLine="482"/>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2024年度无国有资本经营预算财政拨款收支。</w:t>
      </w:r>
    </w:p>
    <w:p>
      <w:pPr>
        <w:pStyle w:val="4"/>
        <w:shd w:val="clear" w:color="auto" w:fill="FFFFFF"/>
        <w:spacing w:before="0" w:beforeAutospacing="0" w:after="0" w:afterAutospacing="0" w:line="600" w:lineRule="exact"/>
        <w:ind w:firstLine="640"/>
        <w:rPr>
          <w:rFonts w:ascii="微软雅黑" w:hAnsi="微软雅黑" w:eastAsia="微软雅黑"/>
          <w:color w:val="000000"/>
          <w:sz w:val="32"/>
          <w:szCs w:val="32"/>
        </w:rPr>
      </w:pPr>
      <w:r>
        <w:rPr>
          <w:rFonts w:hint="eastAsia" w:ascii="黑体" w:hAnsi="黑体" w:eastAsia="黑体"/>
          <w:color w:val="000000"/>
          <w:sz w:val="32"/>
          <w:szCs w:val="32"/>
        </w:rPr>
        <w:t>九、关于2024年度财政拨款“三公经费”支出决算的说明</w:t>
      </w:r>
    </w:p>
    <w:p>
      <w:pPr>
        <w:pStyle w:val="4"/>
        <w:shd w:val="clear" w:color="auto" w:fill="FFFFFF"/>
        <w:spacing w:before="0" w:beforeAutospacing="0" w:after="0" w:afterAutospacing="0" w:line="600" w:lineRule="exact"/>
        <w:ind w:firstLine="640"/>
        <w:rPr>
          <w:rFonts w:ascii="仿宋_GB2312" w:hAnsi="微软雅黑" w:eastAsia="仿宋_GB2312"/>
          <w:color w:val="000000"/>
          <w:sz w:val="32"/>
          <w:szCs w:val="32"/>
        </w:rPr>
      </w:pPr>
      <w:r>
        <w:rPr>
          <w:rFonts w:hint="eastAsia" w:ascii="仿宋_GB2312" w:hAnsi="微软雅黑" w:eastAsia="仿宋_GB2312"/>
          <w:color w:val="000000"/>
          <w:sz w:val="32"/>
          <w:szCs w:val="32"/>
        </w:rPr>
        <w:t>2024年度无财政拨款“三公经费”支出。</w:t>
      </w:r>
    </w:p>
    <w:p>
      <w:pPr>
        <w:pStyle w:val="4"/>
        <w:shd w:val="clear" w:color="auto" w:fill="FFFFFF"/>
        <w:spacing w:before="0" w:beforeAutospacing="0" w:after="0" w:afterAutospacing="0" w:line="600" w:lineRule="exact"/>
        <w:ind w:firstLine="480"/>
        <w:jc w:val="both"/>
        <w:rPr>
          <w:rFonts w:ascii="黑体" w:hAnsi="黑体" w:eastAsia="黑体"/>
          <w:color w:val="000000"/>
          <w:sz w:val="32"/>
          <w:szCs w:val="32"/>
        </w:rPr>
      </w:pPr>
      <w:r>
        <w:rPr>
          <w:rFonts w:hint="eastAsia" w:ascii="黑体" w:hAnsi="黑体" w:eastAsia="黑体"/>
          <w:color w:val="000000"/>
          <w:sz w:val="32"/>
          <w:szCs w:val="32"/>
        </w:rPr>
        <w:t>十</w:t>
      </w:r>
      <w:r>
        <w:rPr>
          <w:rFonts w:ascii="黑体" w:hAnsi="黑体" w:eastAsia="黑体"/>
          <w:color w:val="000000"/>
          <w:sz w:val="32"/>
          <w:szCs w:val="32"/>
        </w:rPr>
        <w:t>、关于</w:t>
      </w:r>
      <w:r>
        <w:rPr>
          <w:rFonts w:hint="eastAsia" w:ascii="黑体" w:hAnsi="黑体" w:eastAsia="黑体"/>
          <w:color w:val="000000"/>
          <w:sz w:val="32"/>
          <w:szCs w:val="32"/>
        </w:rPr>
        <w:t>2024年度</w:t>
      </w:r>
      <w:r>
        <w:rPr>
          <w:rFonts w:ascii="黑体" w:hAnsi="黑体" w:eastAsia="黑体"/>
          <w:color w:val="000000"/>
          <w:sz w:val="32"/>
          <w:szCs w:val="32"/>
        </w:rPr>
        <w:t>项目绩效支出自评表的说明</w:t>
      </w:r>
    </w:p>
    <w:p>
      <w:pPr>
        <w:pStyle w:val="4"/>
        <w:shd w:val="clear" w:color="auto" w:fill="FFFFFF"/>
        <w:spacing w:before="0" w:beforeAutospacing="0" w:after="0" w:afterAutospacing="0"/>
        <w:jc w:val="both"/>
      </w:pPr>
      <w:r>
        <w:drawing>
          <wp:inline distT="0" distB="0" distL="114300" distR="114300">
            <wp:extent cx="5268595" cy="5692775"/>
            <wp:effectExtent l="0" t="0" r="8255" b="3175"/>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19"/>
                    <a:stretch>
                      <a:fillRect/>
                    </a:stretch>
                  </pic:blipFill>
                  <pic:spPr>
                    <a:xfrm>
                      <a:off x="0" y="0"/>
                      <a:ext cx="5268595" cy="5692775"/>
                    </a:xfrm>
                    <a:prstGeom prst="rect">
                      <a:avLst/>
                    </a:prstGeom>
                    <a:noFill/>
                    <a:ln>
                      <a:noFill/>
                    </a:ln>
                  </pic:spPr>
                </pic:pic>
              </a:graphicData>
            </a:graphic>
          </wp:inline>
        </w:drawing>
      </w:r>
    </w:p>
    <w:p>
      <w:pPr>
        <w:pStyle w:val="4"/>
        <w:shd w:val="clear" w:color="auto" w:fill="FFFFFF"/>
        <w:spacing w:before="0" w:beforeAutospacing="0" w:after="0" w:afterAutospacing="0"/>
        <w:jc w:val="both"/>
      </w:pPr>
      <w:r>
        <w:drawing>
          <wp:inline distT="0" distB="0" distL="114300" distR="114300">
            <wp:extent cx="5271135" cy="5041265"/>
            <wp:effectExtent l="0" t="0" r="5715" b="6985"/>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20"/>
                    <a:stretch>
                      <a:fillRect/>
                    </a:stretch>
                  </pic:blipFill>
                  <pic:spPr>
                    <a:xfrm>
                      <a:off x="0" y="0"/>
                      <a:ext cx="5271135" cy="5041265"/>
                    </a:xfrm>
                    <a:prstGeom prst="rect">
                      <a:avLst/>
                    </a:prstGeom>
                    <a:noFill/>
                    <a:ln>
                      <a:noFill/>
                    </a:ln>
                  </pic:spPr>
                </pic:pic>
              </a:graphicData>
            </a:graphic>
          </wp:inline>
        </w:drawing>
      </w:r>
    </w:p>
    <w:p>
      <w:pPr>
        <w:pStyle w:val="4"/>
        <w:shd w:val="clear" w:color="auto" w:fill="FFFFFF"/>
        <w:spacing w:before="0" w:beforeAutospacing="0" w:after="0" w:afterAutospacing="0"/>
        <w:jc w:val="both"/>
      </w:pPr>
      <w:r>
        <w:drawing>
          <wp:inline distT="0" distB="0" distL="114300" distR="114300">
            <wp:extent cx="5271135" cy="6812280"/>
            <wp:effectExtent l="0" t="0" r="5715" b="7620"/>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21"/>
                    <a:stretch>
                      <a:fillRect/>
                    </a:stretch>
                  </pic:blipFill>
                  <pic:spPr>
                    <a:xfrm>
                      <a:off x="0" y="0"/>
                      <a:ext cx="5271135" cy="6812280"/>
                    </a:xfrm>
                    <a:prstGeom prst="rect">
                      <a:avLst/>
                    </a:prstGeom>
                    <a:noFill/>
                    <a:ln>
                      <a:noFill/>
                    </a:ln>
                  </pic:spPr>
                </pic:pic>
              </a:graphicData>
            </a:graphic>
          </wp:inline>
        </w:drawing>
      </w:r>
    </w:p>
    <w:p>
      <w:pPr>
        <w:pStyle w:val="4"/>
        <w:shd w:val="clear" w:color="auto" w:fill="FFFFFF"/>
        <w:spacing w:before="0" w:beforeAutospacing="0" w:after="0" w:afterAutospacing="0" w:line="600" w:lineRule="exact"/>
        <w:jc w:val="center"/>
        <w:rPr>
          <w:rFonts w:ascii="黑体" w:hAnsi="黑体" w:eastAsia="黑体"/>
          <w:color w:val="000000"/>
          <w:sz w:val="32"/>
          <w:szCs w:val="32"/>
        </w:rPr>
      </w:pPr>
    </w:p>
    <w:p>
      <w:pPr>
        <w:pStyle w:val="4"/>
        <w:shd w:val="clear" w:color="auto" w:fill="FFFFFF"/>
        <w:spacing w:before="0" w:beforeAutospacing="0" w:after="0" w:afterAutospacing="0" w:line="600" w:lineRule="exact"/>
        <w:jc w:val="center"/>
        <w:rPr>
          <w:rFonts w:ascii="黑体" w:hAnsi="黑体" w:eastAsia="黑体"/>
          <w:color w:val="000000"/>
          <w:sz w:val="32"/>
          <w:szCs w:val="32"/>
        </w:rPr>
      </w:pPr>
    </w:p>
    <w:p>
      <w:pPr>
        <w:pStyle w:val="4"/>
        <w:shd w:val="clear" w:color="auto" w:fill="FFFFFF"/>
        <w:spacing w:before="0" w:beforeAutospacing="0" w:after="0" w:afterAutospacing="0" w:line="600" w:lineRule="exact"/>
        <w:jc w:val="center"/>
        <w:rPr>
          <w:rFonts w:ascii="黑体" w:hAnsi="黑体" w:eastAsia="黑体"/>
          <w:color w:val="000000"/>
          <w:sz w:val="32"/>
          <w:szCs w:val="32"/>
        </w:rPr>
      </w:pPr>
    </w:p>
    <w:p>
      <w:pPr>
        <w:pStyle w:val="4"/>
        <w:shd w:val="clear" w:color="auto" w:fill="FFFFFF"/>
        <w:spacing w:before="0" w:beforeAutospacing="0" w:after="0" w:afterAutospacing="0" w:line="600" w:lineRule="exact"/>
        <w:jc w:val="center"/>
        <w:rPr>
          <w:rFonts w:ascii="黑体" w:hAnsi="黑体" w:eastAsia="黑体"/>
          <w:color w:val="000000"/>
          <w:sz w:val="32"/>
          <w:szCs w:val="32"/>
        </w:rPr>
      </w:pPr>
      <w:bookmarkStart w:id="0" w:name="_GoBack"/>
      <w:bookmarkEnd w:id="0"/>
    </w:p>
    <w:p>
      <w:pPr>
        <w:pStyle w:val="4"/>
        <w:shd w:val="clear" w:color="auto" w:fill="FFFFFF"/>
        <w:spacing w:before="0" w:beforeAutospacing="0" w:after="0" w:afterAutospacing="0" w:line="600" w:lineRule="exact"/>
        <w:jc w:val="center"/>
        <w:rPr>
          <w:rFonts w:ascii="黑体" w:hAnsi="黑体" w:eastAsia="黑体"/>
          <w:color w:val="000000"/>
          <w:sz w:val="32"/>
          <w:szCs w:val="32"/>
        </w:rPr>
      </w:pPr>
      <w:r>
        <w:rPr>
          <w:rFonts w:hint="eastAsia" w:ascii="黑体" w:hAnsi="黑体" w:eastAsia="黑体"/>
          <w:color w:val="000000"/>
          <w:sz w:val="32"/>
          <w:szCs w:val="32"/>
        </w:rPr>
        <w:t>第四部分 名词解释</w:t>
      </w:r>
    </w:p>
    <w:p>
      <w:pPr>
        <w:pStyle w:val="4"/>
        <w:shd w:val="clear" w:color="auto" w:fill="FFFFFF"/>
        <w:spacing w:before="0" w:beforeAutospacing="0" w:after="0" w:afterAutospacing="0" w:line="600" w:lineRule="exact"/>
        <w:jc w:val="center"/>
        <w:rPr>
          <w:rFonts w:ascii="黑体" w:hAnsi="黑体" w:eastAsia="黑体"/>
          <w:color w:val="000000"/>
          <w:sz w:val="32"/>
          <w:szCs w:val="32"/>
        </w:rPr>
      </w:pPr>
    </w:p>
    <w:p>
      <w:pPr>
        <w:pStyle w:val="4"/>
        <w:shd w:val="clear" w:color="auto" w:fill="FFFFFF"/>
        <w:spacing w:before="0" w:beforeAutospacing="0" w:after="0" w:afterAutospacing="0" w:line="600" w:lineRule="exact"/>
        <w:jc w:val="both"/>
        <w:rPr>
          <w:rFonts w:ascii="微软雅黑" w:hAnsi="微软雅黑" w:eastAsia="微软雅黑"/>
          <w:color w:val="000000"/>
          <w:sz w:val="32"/>
          <w:szCs w:val="32"/>
        </w:rPr>
      </w:pPr>
      <w:r>
        <w:rPr>
          <w:rFonts w:hint="eastAsia" w:ascii="黑体" w:hAnsi="黑体" w:eastAsia="黑体"/>
          <w:color w:val="000000"/>
          <w:sz w:val="32"/>
          <w:szCs w:val="32"/>
        </w:rPr>
        <w:t>　　一、收入科目</w:t>
      </w:r>
    </w:p>
    <w:p>
      <w:pPr>
        <w:pStyle w:val="4"/>
        <w:shd w:val="clear" w:color="auto" w:fill="FFFFFF"/>
        <w:spacing w:before="0" w:beforeAutospacing="0" w:after="0" w:afterAutospacing="0" w:line="600" w:lineRule="exact"/>
        <w:ind w:firstLine="482"/>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(一)一般公共预算拨款收入：指中央财政当年拨付的资金。</w:t>
      </w:r>
    </w:p>
    <w:p>
      <w:pPr>
        <w:pStyle w:val="4"/>
        <w:shd w:val="clear" w:color="auto" w:fill="FFFFFF"/>
        <w:spacing w:before="0" w:beforeAutospacing="0" w:after="0" w:afterAutospacing="0" w:line="600" w:lineRule="exact"/>
        <w:ind w:firstLine="482"/>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(二)事业收入：指事业单位开展专业业务活动及辅助活动所取得的收入。</w:t>
      </w:r>
    </w:p>
    <w:p>
      <w:pPr>
        <w:pStyle w:val="4"/>
        <w:shd w:val="clear" w:color="auto" w:fill="FFFFFF"/>
        <w:spacing w:before="0" w:beforeAutospacing="0" w:after="0" w:afterAutospacing="0" w:line="600" w:lineRule="exact"/>
        <w:ind w:firstLine="482"/>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(三)其他收入：指除上述“财政拨款收入”、“事业收入”等以外的收入。主要是按规定动用的售房收入、存款利息收入等。</w:t>
      </w:r>
    </w:p>
    <w:p>
      <w:pPr>
        <w:pStyle w:val="4"/>
        <w:shd w:val="clear" w:color="auto" w:fill="FFFFFF"/>
        <w:spacing w:before="0" w:beforeAutospacing="0" w:after="0" w:afterAutospacing="0" w:line="600" w:lineRule="exact"/>
        <w:ind w:firstLine="482"/>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(四)上年结转：指以前年度安排、结转到本年仍按原规定用途继续使用的资金</w:t>
      </w:r>
      <w:r>
        <w:rPr>
          <w:rFonts w:hint="eastAsia" w:ascii="仿宋_GB2312" w:hAnsi="楷体" w:eastAsia="仿宋_GB2312"/>
          <w:color w:val="000000"/>
          <w:sz w:val="32"/>
          <w:szCs w:val="32"/>
        </w:rPr>
        <w:t>。</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二、支出科目</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(一)社会保障和就业支出（类）：反映政府在社会保障与就业方面的支出。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行政事业单位养老支出（款）：反映用于行政事业单位养老方面的支出。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机关事业单位基本养老保险缴费支出（项）：反映机关事业单位实施养老保险制度由单位缴纳的基本养老保险费支出。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机关事业单位职业年金缴费支出（项）：反映机关事业单位实施养老保险制度由单位实际缴纳的职业年金支出。</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(二)卫生健康支出（类）：反映政府卫生健康方面的支出。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卫生健康管理事务（款）：反映卫生健康、中医等管理方面的支出。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其他卫生健康管理事务支出（项）：反映除上述项目以外其他用于卫生健康管理事务方面的支出。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中医药（款）：反映中医药方面的支出。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其他中医药支出（项）：反映除中医（民族医）药专项支出以外的其他中医药支出。</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(三)住房保障支出（类）：集中反映政府用于住房方面的支出。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住房改革支出（款）：指行政事业单位用财政拨款资金和其他资金等安排的住房改革支出。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提租补贴（项）：指经国务院批准，于2000年开始针对在京中央单位公有住房租金标准提高发放的补贴，中央在京单位按照在编职工人数和离退休人数以及相应职级的补贴标准确定，人均月补贴90元。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购房补贴（项）：指根据《国务院关于进一步深化城镇住房制度改革加快住房建设的通知》(国发</w:t>
      </w:r>
      <w:r>
        <w:rPr>
          <w:rFonts w:hint="eastAsia" w:ascii="仿宋_GB2312" w:hAnsi="仿宋" w:eastAsia="仿宋_GB2312" w:cs="仿宋_GB2312"/>
          <w:sz w:val="32"/>
          <w:szCs w:val="32"/>
        </w:rPr>
        <w:t>〔</w:t>
      </w:r>
      <w:r>
        <w:rPr>
          <w:rFonts w:hint="eastAsia" w:ascii="仿宋_GB2312" w:eastAsia="仿宋_GB2312"/>
          <w:sz w:val="32"/>
          <w:szCs w:val="32"/>
        </w:rPr>
        <w:t>1998</w:t>
      </w:r>
      <w:r>
        <w:rPr>
          <w:rFonts w:hint="eastAsia" w:ascii="仿宋_GB2312" w:hAnsi="仿宋" w:eastAsia="仿宋_GB2312" w:cs="仿宋_GB2312"/>
          <w:sz w:val="32"/>
          <w:szCs w:val="32"/>
        </w:rPr>
        <w:t>〕</w:t>
      </w:r>
      <w:r>
        <w:rPr>
          <w:rFonts w:hint="eastAsia" w:ascii="仿宋_GB2312" w:eastAsia="仿宋_GB2312"/>
          <w:sz w:val="32"/>
          <w:szCs w:val="32"/>
        </w:rPr>
        <w:t>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国务院办公厅转发建设部等单位&lt;关于完善在京中央和国家机关住房制度的若干意见&gt;的通知》（厅字</w:t>
      </w:r>
      <w:r>
        <w:rPr>
          <w:rFonts w:hint="eastAsia" w:ascii="仿宋_GB2312" w:hAnsi="仿宋" w:eastAsia="仿宋_GB2312" w:cs="仿宋_GB2312"/>
          <w:sz w:val="32"/>
          <w:szCs w:val="32"/>
        </w:rPr>
        <w:t>〔</w:t>
      </w:r>
      <w:r>
        <w:rPr>
          <w:rFonts w:hint="eastAsia" w:ascii="仿宋_GB2312" w:eastAsia="仿宋_GB2312"/>
          <w:sz w:val="32"/>
          <w:szCs w:val="32"/>
        </w:rPr>
        <w:t>2005</w:t>
      </w:r>
      <w:r>
        <w:rPr>
          <w:rFonts w:hint="eastAsia" w:ascii="仿宋_GB2312" w:hAnsi="仿宋" w:eastAsia="仿宋_GB2312" w:cs="仿宋_GB2312"/>
          <w:sz w:val="32"/>
          <w:szCs w:val="32"/>
        </w:rPr>
        <w:t>〕</w:t>
      </w:r>
      <w:r>
        <w:rPr>
          <w:rFonts w:hint="eastAsia" w:ascii="仿宋_GB2312" w:eastAsia="仿宋_GB2312"/>
          <w:sz w:val="32"/>
          <w:szCs w:val="32"/>
        </w:rPr>
        <w:t>8号）规定的标准执行，京外中央单位按照所在地人民政府住房分配货币化改革的政策规定和标准执行。</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三、“三公”经费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纳入国家中医药管理局预算管理的“三公”经费主要指国家中医药管理局用财政拨款安排的因公出国（境）费、公务用车购置及运行费和公务接待费。其中: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因公出国（境）费反映单位公务出国（境）的住宿费、旅费、伙食补助费、杂费、培训费等支出;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公务用车购置及运行费反映单位公务用车购置费及租用费、燃料费、维修费、过路过桥费、保险费、安全奖励费用等支出;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公务接待费反映单位按规定开支的各类公务接待（含外宾接待）支出。</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94569"/>
      <w:docPartObj>
        <w:docPartGallery w:val="AutoText"/>
      </w:docPartObj>
    </w:sdtPr>
    <w:sdtEndPr>
      <w:rPr>
        <w:rFonts w:hint="eastAsia" w:ascii="仿宋_GB2312" w:eastAsia="仿宋_GB2312"/>
        <w:sz w:val="32"/>
        <w:szCs w:val="32"/>
      </w:rPr>
    </w:sdtEndPr>
    <w:sdtContent>
      <w:p>
        <w:pPr>
          <w:pStyle w:val="3"/>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5 -</w:t>
        </w:r>
        <w:r>
          <w:rPr>
            <w:rFonts w:hint="eastAsia" w:ascii="仿宋_GB2312" w:eastAsia="仿宋_GB2312"/>
            <w:sz w:val="32"/>
            <w:szCs w:val="32"/>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02460"/>
    <w:multiLevelType w:val="multilevel"/>
    <w:tmpl w:val="1E502460"/>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37"/>
    <w:rsid w:val="00055AB7"/>
    <w:rsid w:val="000D382B"/>
    <w:rsid w:val="000D4A6D"/>
    <w:rsid w:val="00142F9E"/>
    <w:rsid w:val="00145E1F"/>
    <w:rsid w:val="00174D84"/>
    <w:rsid w:val="00192C13"/>
    <w:rsid w:val="001F7DBD"/>
    <w:rsid w:val="002A4076"/>
    <w:rsid w:val="002E6952"/>
    <w:rsid w:val="003B36C7"/>
    <w:rsid w:val="003E0244"/>
    <w:rsid w:val="003F5F27"/>
    <w:rsid w:val="00436F9E"/>
    <w:rsid w:val="004601BA"/>
    <w:rsid w:val="004614F8"/>
    <w:rsid w:val="00481B9F"/>
    <w:rsid w:val="004C64F5"/>
    <w:rsid w:val="004D3EEE"/>
    <w:rsid w:val="004F32ED"/>
    <w:rsid w:val="00506AC9"/>
    <w:rsid w:val="005238E7"/>
    <w:rsid w:val="005360E0"/>
    <w:rsid w:val="005410D6"/>
    <w:rsid w:val="00554F16"/>
    <w:rsid w:val="00564123"/>
    <w:rsid w:val="00567C0B"/>
    <w:rsid w:val="005A428E"/>
    <w:rsid w:val="005B24F6"/>
    <w:rsid w:val="00626BDA"/>
    <w:rsid w:val="00631117"/>
    <w:rsid w:val="0064288C"/>
    <w:rsid w:val="00652D19"/>
    <w:rsid w:val="006640FA"/>
    <w:rsid w:val="006A6D4C"/>
    <w:rsid w:val="006F772E"/>
    <w:rsid w:val="007E6F6A"/>
    <w:rsid w:val="00802610"/>
    <w:rsid w:val="008749A8"/>
    <w:rsid w:val="008944F1"/>
    <w:rsid w:val="009A27AD"/>
    <w:rsid w:val="009C6CEB"/>
    <w:rsid w:val="009D248A"/>
    <w:rsid w:val="009F43FE"/>
    <w:rsid w:val="009F5C5D"/>
    <w:rsid w:val="00A13C39"/>
    <w:rsid w:val="00AA7DF3"/>
    <w:rsid w:val="00AC1226"/>
    <w:rsid w:val="00B1181C"/>
    <w:rsid w:val="00B577F7"/>
    <w:rsid w:val="00BC4754"/>
    <w:rsid w:val="00BD50AD"/>
    <w:rsid w:val="00BD543E"/>
    <w:rsid w:val="00C15F0D"/>
    <w:rsid w:val="00C518DA"/>
    <w:rsid w:val="00CA4341"/>
    <w:rsid w:val="00D546AF"/>
    <w:rsid w:val="00D87D43"/>
    <w:rsid w:val="00D96294"/>
    <w:rsid w:val="00DA6937"/>
    <w:rsid w:val="00DB6754"/>
    <w:rsid w:val="00E02EE8"/>
    <w:rsid w:val="00E24398"/>
    <w:rsid w:val="00E51A29"/>
    <w:rsid w:val="00E807D1"/>
    <w:rsid w:val="00EA619A"/>
    <w:rsid w:val="00EC06C2"/>
    <w:rsid w:val="00EC5E8E"/>
    <w:rsid w:val="00EC7605"/>
    <w:rsid w:val="00EF5076"/>
    <w:rsid w:val="00F07F90"/>
    <w:rsid w:val="00F16396"/>
    <w:rsid w:val="00F41A1F"/>
    <w:rsid w:val="00FA0014"/>
    <w:rsid w:val="00FD75B2"/>
    <w:rsid w:val="09344FF2"/>
    <w:rsid w:val="168B140C"/>
    <w:rsid w:val="185C0D40"/>
    <w:rsid w:val="20ED3B94"/>
    <w:rsid w:val="227F6529"/>
    <w:rsid w:val="419E199D"/>
    <w:rsid w:val="50C75416"/>
    <w:rsid w:val="512B513A"/>
    <w:rsid w:val="62B32B7E"/>
    <w:rsid w:val="631D47AB"/>
    <w:rsid w:val="75D96D69"/>
    <w:rsid w:val="78A2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2024&#24180;&#20915;&#31639;&#25253;&#21578;\2023&#20915;&#31639;&#25253;&#34920;&#22270;&#34920;.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D:\2024&#24180;&#20915;&#31639;&#25253;&#21578;\2023&#20915;&#31639;&#25253;&#34920;&#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D:\2024&#24180;&#20915;&#31639;&#25253;&#21578;\2023&#20915;&#31639;&#25253;&#34920;&#22270;&#34920;.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D:\2024&#24180;&#20915;&#31639;&#25253;&#21578;\2023&#20915;&#31639;&#25253;&#34920;&#22270;&#34920;.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D:\2024&#24180;&#20915;&#31639;&#25253;&#21578;\2023&#20915;&#31639;&#25253;&#349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40" b="1" i="0" u="none" strike="noStrike" kern="1200" baseline="0">
                <a:solidFill>
                  <a:schemeClr val="tx1"/>
                </a:solidFill>
                <a:latin typeface="+mn-lt"/>
                <a:ea typeface="+mn-ea"/>
                <a:cs typeface="+mn-cs"/>
              </a:defRPr>
            </a:pPr>
            <a:r>
              <a:rPr lang="en-US" altLang="zh-CN" sz="1440">
                <a:latin typeface="仿宋_GB2312" panose="02010609030101010101" pitchFamily="3" charset="-122"/>
                <a:ea typeface="仿宋_GB2312" panose="02010609030101010101" pitchFamily="3" charset="-122"/>
                <a:cs typeface="仿宋_GB2312" panose="02010609030101010101" pitchFamily="3" charset="-122"/>
              </a:rPr>
              <a:t>2024</a:t>
            </a:r>
            <a:r>
              <a:rPr lang="zh-CN" altLang="en-US" sz="1440">
                <a:latin typeface="仿宋_GB2312" panose="02010609030101010101" pitchFamily="3" charset="-122"/>
                <a:ea typeface="仿宋_GB2312" panose="02010609030101010101" pitchFamily="3" charset="-122"/>
                <a:cs typeface="仿宋_GB2312" panose="02010609030101010101" pitchFamily="3" charset="-122"/>
              </a:rPr>
              <a:t>年各项收入所占比重</a:t>
            </a:r>
            <a:endParaRPr lang="zh-CN" altLang="en-US" sz="1440">
              <a:latin typeface="仿宋_GB2312" panose="02010609030101010101" pitchFamily="3" charset="-122"/>
              <a:ea typeface="仿宋_GB2312" panose="02010609030101010101" pitchFamily="3" charset="-122"/>
              <a:cs typeface="仿宋_GB2312" panose="02010609030101010101" pitchFamily="3" charset="-122"/>
            </a:endParaRPr>
          </a:p>
        </c:rich>
      </c:tx>
      <c:layout>
        <c:manualLayout>
          <c:xMode val="edge"/>
          <c:yMode val="edge"/>
          <c:x val="0.307966419391457"/>
          <c:y val="0.0441814681596901"/>
        </c:manualLayout>
      </c:layout>
      <c:overlay val="0"/>
    </c:title>
    <c:autoTitleDeleted val="0"/>
    <c:plotArea>
      <c:layout>
        <c:manualLayout>
          <c:layoutTarget val="inner"/>
          <c:xMode val="edge"/>
          <c:yMode val="edge"/>
          <c:x val="0.0957632688258465"/>
          <c:y val="0.211799854805383"/>
          <c:w val="0.414049397671445"/>
          <c:h val="0.694534473513391"/>
        </c:manualLayout>
      </c:layout>
      <c:pieChart>
        <c:varyColors val="1"/>
        <c:ser>
          <c:idx val="0"/>
          <c:order val="0"/>
          <c:explosion val="0"/>
          <c:dPt>
            <c:idx val="0"/>
            <c:bubble3D val="0"/>
          </c:dPt>
          <c:dPt>
            <c:idx val="1"/>
            <c:bubble3D val="0"/>
          </c:dPt>
          <c:dPt>
            <c:idx val="2"/>
            <c:bubble3D val="0"/>
          </c:dPt>
          <c:dLbls>
            <c:dLbl>
              <c:idx val="0"/>
              <c:layout>
                <c:manualLayout>
                  <c:x val="-0.0806580409055321"/>
                  <c:y val="-0.24410302713691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64258471141483"/>
                  <c:y val="0.13325407839492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66694638484787"/>
                  <c:y val="-0.01975826830066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'[2023决算报表图表.xlsx]2024年'!$A$50:$A$52</c:f>
              <c:strCache>
                <c:ptCount val="3"/>
                <c:pt idx="0">
                  <c:v>财政拨款收入1251.78万元</c:v>
                </c:pt>
                <c:pt idx="1">
                  <c:v>事业收入164.95万元</c:v>
                </c:pt>
                <c:pt idx="2">
                  <c:v>其他收入23.77万元</c:v>
                </c:pt>
              </c:strCache>
            </c:strRef>
          </c:cat>
          <c:val>
            <c:numRef>
              <c:f>'[2023决算报表图表.xlsx]2024年'!$B$50:$B$52</c:f>
              <c:numCache>
                <c:formatCode>General</c:formatCode>
                <c:ptCount val="3"/>
                <c:pt idx="0">
                  <c:v>1251.78</c:v>
                </c:pt>
                <c:pt idx="1">
                  <c:v>164.95</c:v>
                </c:pt>
                <c:pt idx="2">
                  <c:v>23.77</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ayout>
        <c:manualLayout>
          <c:xMode val="edge"/>
          <c:yMode val="edge"/>
          <c:x val="0.562003457701759"/>
          <c:y val="0.394597084938851"/>
          <c:w val="0.410218762483981"/>
          <c:h val="0.306484068523693"/>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en-US" altLang="zh-CN"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2024</a:t>
            </a:r>
            <a:r>
              <a:rPr lang="zh-CN" altLang="en-US"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年各项支出所占比重</a:t>
            </a:r>
            <a:endParaRPr lang="zh-CN" altLang="en-US"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manualLayout>
          <c:xMode val="edge"/>
          <c:yMode val="edge"/>
          <c:x val="0.275510906082154"/>
          <c:y val="0.047268097832971"/>
        </c:manualLayout>
      </c:layout>
      <c:overlay val="0"/>
    </c:title>
    <c:autoTitleDeleted val="0"/>
    <c:plotArea>
      <c:layout>
        <c:manualLayout>
          <c:layoutTarget val="inner"/>
          <c:xMode val="edge"/>
          <c:yMode val="edge"/>
          <c:x val="0.0887544436692249"/>
          <c:y val="0.219440673364105"/>
          <c:w val="0.415730589056115"/>
          <c:h val="0.696927671839429"/>
        </c:manualLayout>
      </c:layout>
      <c:pieChart>
        <c:varyColors val="1"/>
        <c:ser>
          <c:idx val="0"/>
          <c:order val="0"/>
          <c:explosion val="0"/>
          <c:dPt>
            <c:idx val="0"/>
            <c:bubble3D val="0"/>
          </c:dPt>
          <c:dPt>
            <c:idx val="1"/>
            <c:bubble3D val="0"/>
          </c:dPt>
          <c:dLbls>
            <c:dLbl>
              <c:idx val="0"/>
              <c:layout>
                <c:manualLayout>
                  <c:x val="-0.167800209807897"/>
                  <c:y val="-0.0009706838457446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52706527821669"/>
                  <c:y val="0.0035485611561897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'[2023决算报表图表.xlsx]2024年'!$A$171:$A$172</c:f>
              <c:strCache>
                <c:ptCount val="2"/>
                <c:pt idx="0">
                  <c:v>基本支出846.80万元</c:v>
                </c:pt>
                <c:pt idx="1">
                  <c:v>项目支出690.72万元</c:v>
                </c:pt>
              </c:strCache>
            </c:strRef>
          </c:cat>
          <c:val>
            <c:numRef>
              <c:f>'[2023决算报表图表.xlsx]2024年'!$B$171:$B$172</c:f>
              <c:numCache>
                <c:formatCode>General</c:formatCode>
                <c:ptCount val="2"/>
                <c:pt idx="0">
                  <c:v>846.8</c:v>
                </c:pt>
                <c:pt idx="1">
                  <c:v>690.72</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ayout>
        <c:manualLayout>
          <c:xMode val="edge"/>
          <c:yMode val="edge"/>
          <c:x val="0.565183228678694"/>
          <c:y val="0.441458120122253"/>
          <c:w val="0.39774011299435"/>
          <c:h val="0.257964452056225"/>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40" b="1" i="0" u="none" strike="noStrike" kern="1200" baseline="0">
                <a:solidFill>
                  <a:schemeClr val="tx1"/>
                </a:solidFill>
                <a:latin typeface="+mn-lt"/>
                <a:ea typeface="+mn-ea"/>
                <a:cs typeface="+mn-cs"/>
              </a:defRPr>
            </a:pPr>
            <a:r>
              <a:rPr lang="zh-CN" altLang="en-US" sz="1440">
                <a:latin typeface="仿宋_GB2312" panose="02010609030101010101" pitchFamily="3" charset="-122"/>
                <a:ea typeface="仿宋_GB2312" panose="02010609030101010101" pitchFamily="3" charset="-122"/>
                <a:cs typeface="仿宋_GB2312" panose="02010609030101010101" pitchFamily="3" charset="-122"/>
              </a:rPr>
              <a:t>202</a:t>
            </a:r>
            <a:r>
              <a:rPr lang="en-US" altLang="zh-CN" sz="1440">
                <a:latin typeface="仿宋_GB2312" panose="02010609030101010101" pitchFamily="3" charset="-122"/>
                <a:ea typeface="仿宋_GB2312" panose="02010609030101010101" pitchFamily="3" charset="-122"/>
                <a:cs typeface="仿宋_GB2312" panose="02010609030101010101" pitchFamily="3" charset="-122"/>
              </a:rPr>
              <a:t>4</a:t>
            </a:r>
            <a:r>
              <a:rPr lang="zh-CN" altLang="en-US" sz="1440">
                <a:latin typeface="仿宋_GB2312" panose="02010609030101010101" pitchFamily="3" charset="-122"/>
                <a:ea typeface="仿宋_GB2312" panose="02010609030101010101" pitchFamily="3" charset="-122"/>
                <a:cs typeface="仿宋_GB2312" panose="02010609030101010101" pitchFamily="3" charset="-122"/>
              </a:rPr>
              <a:t>年财政拨款收入</a:t>
            </a:r>
            <a:r>
              <a:rPr lang="zh-CN" altLang="en-US" sz="1440">
                <a:latin typeface="仿宋_GB2312" panose="02010609030101010101" pitchFamily="3" charset="-122"/>
                <a:ea typeface="仿宋_GB2312" panose="02010609030101010101" pitchFamily="3" charset="-122"/>
                <a:cs typeface="仿宋_GB2312" panose="02010609030101010101" pitchFamily="3" charset="-122"/>
              </a:rPr>
              <a:t>情况</a:t>
            </a:r>
            <a:endParaRPr lang="zh-CN" altLang="en-US" sz="1440">
              <a:latin typeface="仿宋_GB2312" panose="02010609030101010101" pitchFamily="3" charset="-122"/>
              <a:ea typeface="仿宋_GB2312" panose="02010609030101010101" pitchFamily="3" charset="-122"/>
              <a:cs typeface="仿宋_GB2312" panose="02010609030101010101" pitchFamily="3" charset="-122"/>
            </a:endParaRPr>
          </a:p>
        </c:rich>
      </c:tx>
      <c:layout>
        <c:manualLayout>
          <c:xMode val="edge"/>
          <c:yMode val="edge"/>
          <c:x val="0.299064773712535"/>
          <c:y val="0.0569261397384331"/>
        </c:manualLayout>
      </c:layout>
      <c:overlay val="0"/>
    </c:title>
    <c:autoTitleDeleted val="0"/>
    <c:plotArea>
      <c:layout>
        <c:manualLayout>
          <c:layoutTarget val="inner"/>
          <c:xMode val="edge"/>
          <c:yMode val="edge"/>
          <c:x val="0.0978898310788075"/>
          <c:y val="0.228016655304125"/>
          <c:w val="0.414049397671445"/>
          <c:h val="0.694534473513391"/>
        </c:manualLayout>
      </c:layout>
      <c:pieChart>
        <c:varyColors val="1"/>
        <c:ser>
          <c:idx val="0"/>
          <c:order val="0"/>
          <c:explosion val="0"/>
          <c:dPt>
            <c:idx val="0"/>
            <c:bubble3D val="0"/>
          </c:dPt>
          <c:dPt>
            <c:idx val="1"/>
            <c:bubble3D val="0"/>
          </c:dPt>
          <c:dPt>
            <c:idx val="2"/>
            <c:bubble3D val="0"/>
          </c:dPt>
          <c:dLbls>
            <c:dLbl>
              <c:idx val="0"/>
              <c:layout>
                <c:manualLayout>
                  <c:x val="0.0135435391083996"/>
                  <c:y val="-0.27654748303202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84218899566557"/>
                  <c:y val="-0.011597607841193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11374830312583"/>
                  <c:y val="0.011450386547664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05906522855675"/>
                      <c:h val="0.0855423646121321"/>
                    </c:manualLayout>
                  </c15:layout>
                </c:ext>
              </c:extLst>
            </c:dLbl>
            <c:numFmt formatCode="#,##0.00_);[Red]\(#,##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'[2023决算报表图表.xlsx]2024年'!$A$24:$A$26</c:f>
              <c:strCache>
                <c:ptCount val="3"/>
                <c:pt idx="0">
                  <c:v>当年财政拨款收入1251.78万元</c:v>
                </c:pt>
                <c:pt idx="1">
                  <c:v>上年结转68.18万元</c:v>
                </c:pt>
              </c:strCache>
            </c:strRef>
          </c:cat>
          <c:val>
            <c:numRef>
              <c:f>'[2023决算报表图表.xlsx]2024年'!$B$24:$B$26</c:f>
              <c:numCache>
                <c:formatCode>General</c:formatCode>
                <c:ptCount val="3"/>
                <c:pt idx="0">
                  <c:v>1251.78</c:v>
                </c:pt>
                <c:pt idx="1">
                  <c:v>68.18</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2"/>
        <c:delete val="1"/>
      </c:legendEntry>
      <c:layout>
        <c:manualLayout>
          <c:xMode val="edge"/>
          <c:yMode val="edge"/>
          <c:x val="0.542783769902414"/>
          <c:y val="0.422236401339927"/>
          <c:w val="0.43256291730868"/>
          <c:h val="0.29255064603605"/>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chart>
  <c:txPr>
    <a:bodyPr/>
    <a:lstStyle/>
    <a:p>
      <a:pPr>
        <a:defRPr lang="zh-CN" sz="144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40" b="1"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en-US" altLang="zh-CN"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2024</a:t>
            </a:r>
            <a:r>
              <a:rPr lang="zh-CN" altLang="en-US"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年财政拨款支出情况</a:t>
            </a:r>
            <a:endParaRPr lang="zh-CN" altLang="en-US"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manualLayout>
          <c:xMode val="edge"/>
          <c:yMode val="edge"/>
          <c:x val="0.311236529053155"/>
          <c:y val="0.0488399544195974"/>
        </c:manualLayout>
      </c:layout>
      <c:overlay val="0"/>
    </c:title>
    <c:autoTitleDeleted val="0"/>
    <c:plotArea>
      <c:layout>
        <c:manualLayout>
          <c:layoutTarget val="inner"/>
          <c:xMode val="edge"/>
          <c:yMode val="edge"/>
          <c:x val="0.0842359177128036"/>
          <c:y val="0.235579007916118"/>
          <c:w val="0.415730589056115"/>
          <c:h val="0.696927671839429"/>
        </c:manualLayout>
      </c:layout>
      <c:pieChart>
        <c:varyColors val="1"/>
        <c:ser>
          <c:idx val="0"/>
          <c:order val="0"/>
          <c:explosion val="0"/>
          <c:dPt>
            <c:idx val="0"/>
            <c:bubble3D val="0"/>
          </c:dPt>
          <c:dPt>
            <c:idx val="1"/>
            <c:bubble3D val="0"/>
          </c:dPt>
          <c:dPt>
            <c:idx val="2"/>
            <c:bubble3D val="0"/>
          </c:dPt>
          <c:dPt>
            <c:idx val="3"/>
            <c:bubble3D val="0"/>
          </c:dPt>
          <c:dLbls>
            <c:dLbl>
              <c:idx val="0"/>
              <c:layout>
                <c:manualLayout>
                  <c:x val="0.0518123866263341"/>
                  <c:y val="0.006712479624169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0762088010315844"/>
                  <c:y val="-0.2093751539502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20883998579226"/>
                  <c:y val="0.0429406520659796"/>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14429361488185"/>
                      <c:h val="0.0970858154886492"/>
                    </c:manualLayout>
                  </c15:layout>
                </c:ext>
              </c:extLst>
            </c:dLbl>
            <c:dLbl>
              <c:idx val="3"/>
              <c:layout>
                <c:manualLayout>
                  <c:x val="-0.0344155843314919"/>
                  <c:y val="-0.033893239864757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'[2023决算报表图表.xlsx]2024公开'!$A$30:$A$33</c:f>
              <c:strCache>
                <c:ptCount val="4"/>
                <c:pt idx="0">
                  <c:v>社会保障和就业支出91.91万元</c:v>
                </c:pt>
                <c:pt idx="1">
                  <c:v>卫生健康支出1115.47万元</c:v>
                </c:pt>
                <c:pt idx="2">
                  <c:v>住房保障支出65.63万元</c:v>
                </c:pt>
                <c:pt idx="3">
                  <c:v>年末财政拨款结转和结余46.94万元</c:v>
                </c:pt>
              </c:strCache>
            </c:strRef>
          </c:cat>
          <c:val>
            <c:numRef>
              <c:f>'[2023决算报表图表.xlsx]2024公开'!$B$30:$B$33</c:f>
              <c:numCache>
                <c:formatCode>General</c:formatCode>
                <c:ptCount val="4"/>
                <c:pt idx="0">
                  <c:v>91.91</c:v>
                </c:pt>
                <c:pt idx="1">
                  <c:v>1115.47</c:v>
                </c:pt>
                <c:pt idx="2">
                  <c:v>65.63</c:v>
                </c:pt>
                <c:pt idx="3">
                  <c:v>46.94</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ayout>
        <c:manualLayout>
          <c:xMode val="edge"/>
          <c:yMode val="edge"/>
          <c:x val="0.521555876685935"/>
          <c:y val="0.352487466255303"/>
          <c:w val="0.473747591522158"/>
          <c:h val="0.435981488623216"/>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40" b="1" i="0" u="none" strike="noStrike" kern="1200" baseline="0">
                <a:solidFill>
                  <a:schemeClr val="tx1"/>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en-US" altLang="zh-CN"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2024</a:t>
            </a:r>
            <a:r>
              <a:rPr lang="zh-CN" altLang="en-US"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年度一般公共预算财政拨款基本支出情况</a:t>
            </a:r>
            <a:endParaRPr lang="zh-CN" altLang="en-US" sz="1440"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manualLayout>
          <c:xMode val="edge"/>
          <c:yMode val="edge"/>
          <c:x val="0.156999516073649"/>
          <c:y val="0.0463051254348418"/>
        </c:manualLayout>
      </c:layout>
      <c:overlay val="0"/>
    </c:title>
    <c:autoTitleDeleted val="0"/>
    <c:plotArea>
      <c:layout>
        <c:manualLayout>
          <c:layoutTarget val="inner"/>
          <c:xMode val="edge"/>
          <c:yMode val="edge"/>
          <c:x val="0.0887544436692249"/>
          <c:y val="0.219440673364105"/>
          <c:w val="0.415730589056115"/>
          <c:h val="0.696927671839429"/>
        </c:manualLayout>
      </c:layout>
      <c:pieChart>
        <c:varyColors val="1"/>
        <c:ser>
          <c:idx val="0"/>
          <c:order val="0"/>
          <c:explosion val="0"/>
          <c:dPt>
            <c:idx val="0"/>
            <c:bubble3D val="0"/>
          </c:dPt>
          <c:dPt>
            <c:idx val="1"/>
            <c:bubble3D val="0"/>
          </c:dPt>
          <c:dLbls>
            <c:dLbl>
              <c:idx val="0"/>
              <c:layout>
                <c:manualLayout>
                  <c:x val="-0.0751198517246956"/>
                  <c:y val="-0.239109260557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30616420903458"/>
                  <c:y val="-0.004677053605481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'[2023决算报表图表.xlsx]2024公开'!$A$52:$A$53</c:f>
              <c:strCache>
                <c:ptCount val="2"/>
                <c:pt idx="0">
                  <c:v>人员经费491.43万元</c:v>
                </c:pt>
                <c:pt idx="1">
                  <c:v>公用经费90.87万元</c:v>
                </c:pt>
              </c:strCache>
            </c:strRef>
          </c:cat>
          <c:val>
            <c:numRef>
              <c:f>'[2023决算报表图表.xlsx]2024公开'!$B$52:$B$53</c:f>
              <c:numCache>
                <c:formatCode>General</c:formatCode>
                <c:ptCount val="2"/>
                <c:pt idx="0">
                  <c:v>491.43</c:v>
                </c:pt>
                <c:pt idx="1">
                  <c:v>90.87</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ayout>
        <c:manualLayout>
          <c:xMode val="edge"/>
          <c:yMode val="edge"/>
          <c:x val="0.565183228678694"/>
          <c:y val="0.441458120122253"/>
          <c:w val="0.39774011299435"/>
          <c:h val="0.257964452056225"/>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txPr>
    <a:bodyPr/>
    <a:lstStyle/>
    <a:p>
      <a:pPr>
        <a:defRPr lang="zh-CN" sz="1440"/>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17</Pages>
  <Words>2947</Words>
  <Characters>3258</Characters>
  <Lines>24</Lines>
  <Paragraphs>6</Paragraphs>
  <TotalTime>27</TotalTime>
  <ScaleCrop>false</ScaleCrop>
  <LinksUpToDate>false</LinksUpToDate>
  <CharactersWithSpaces>3290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2023-08-02T06:24:00Z</dcterms:created>
  <dc:creator>一切顺利</dc:creator>
  <cp:lastModifiedBy>Acer</cp:lastModifiedBy>
  <cp:lastPrinted>2025-08-15T09:03:32Z</cp:lastPrinted>
  <dcterms:modified xsi:type="dcterms:W3CDTF">2025-08-15T09:25:33Z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F5F7F99978524265A177D3906F716C91</vt:lpwstr>
  </property>
</Properties>
</file>